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49" w:rsidRDefault="00447C49"/>
    <w:p w:rsidR="00E61463" w:rsidRDefault="00E61463"/>
    <w:p w:rsidR="00E61463" w:rsidRPr="00727C39" w:rsidRDefault="00E61463" w:rsidP="00E61463">
      <w:pPr>
        <w:rPr>
          <w:rFonts w:cs="Arial"/>
        </w:rPr>
      </w:pPr>
      <w:r w:rsidRPr="00727C39">
        <w:rPr>
          <w:rFonts w:cs="Arial"/>
        </w:rPr>
        <w:t>Tabla 1. Porcentajes de los  motivos de no aceptación de ingreso en HAD</w:t>
      </w:r>
    </w:p>
    <w:p w:rsidR="00727C39" w:rsidRPr="00E26B62" w:rsidRDefault="00727C39" w:rsidP="00E61463">
      <w:pPr>
        <w:rPr>
          <w:rFonts w:cs="Arial"/>
          <w:sz w:val="20"/>
          <w:szCs w:val="20"/>
        </w:rPr>
      </w:pPr>
    </w:p>
    <w:tbl>
      <w:tblPr>
        <w:tblStyle w:val="Tablaconcuadrcula"/>
        <w:tblW w:w="5200" w:type="dxa"/>
        <w:jc w:val="center"/>
        <w:tblLook w:val="04A0" w:firstRow="1" w:lastRow="0" w:firstColumn="1" w:lastColumn="0" w:noHBand="0" w:noVBand="1"/>
      </w:tblPr>
      <w:tblGrid>
        <w:gridCol w:w="4069"/>
        <w:gridCol w:w="1131"/>
      </w:tblGrid>
      <w:tr w:rsidR="00E61463" w:rsidRPr="00E82178" w:rsidTr="00164070">
        <w:trPr>
          <w:trHeight w:val="315"/>
          <w:jc w:val="center"/>
        </w:trPr>
        <w:tc>
          <w:tcPr>
            <w:tcW w:w="5200" w:type="dxa"/>
            <w:gridSpan w:val="2"/>
            <w:noWrap/>
            <w:hideMark/>
          </w:tcPr>
          <w:p w:rsidR="00E61463" w:rsidRPr="00E82178" w:rsidRDefault="00E61463" w:rsidP="00164070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E82178">
              <w:rPr>
                <w:rFonts w:eastAsia="Times New Roman" w:cs="Arial"/>
                <w:b/>
                <w:bCs/>
                <w:color w:val="000000"/>
                <w:lang w:eastAsia="es-ES"/>
              </w:rPr>
              <w:t>Motivo de no aceptación del ingreso en HAD</w:t>
            </w:r>
          </w:p>
        </w:tc>
      </w:tr>
      <w:tr w:rsidR="00E61463" w:rsidRPr="00E82178" w:rsidTr="00164070">
        <w:trPr>
          <w:trHeight w:val="300"/>
          <w:jc w:val="center"/>
        </w:trPr>
        <w:tc>
          <w:tcPr>
            <w:tcW w:w="4069" w:type="dxa"/>
            <w:noWrap/>
            <w:hideMark/>
          </w:tcPr>
          <w:p w:rsidR="00E61463" w:rsidRPr="00E82178" w:rsidRDefault="00E61463" w:rsidP="00164070">
            <w:pPr>
              <w:spacing w:after="0"/>
              <w:rPr>
                <w:rFonts w:eastAsia="Times New Roman" w:cs="Arial"/>
                <w:color w:val="000000"/>
                <w:lang w:eastAsia="es-ES"/>
              </w:rPr>
            </w:pPr>
            <w:r w:rsidRPr="00E82178">
              <w:rPr>
                <w:rFonts w:eastAsia="Times New Roman" w:cs="Arial"/>
                <w:color w:val="000000"/>
                <w:lang w:eastAsia="es-ES"/>
              </w:rPr>
              <w:t xml:space="preserve">No aceptación paciente/familia </w:t>
            </w:r>
          </w:p>
        </w:tc>
        <w:tc>
          <w:tcPr>
            <w:tcW w:w="1131" w:type="dxa"/>
            <w:noWrap/>
            <w:hideMark/>
          </w:tcPr>
          <w:p w:rsidR="00E61463" w:rsidRPr="00E82178" w:rsidRDefault="00E61463" w:rsidP="00164070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E82178">
              <w:rPr>
                <w:rFonts w:eastAsia="Times New Roman" w:cs="Arial"/>
                <w:color w:val="000000"/>
                <w:lang w:eastAsia="es-ES"/>
              </w:rPr>
              <w:t>34,40%</w:t>
            </w:r>
          </w:p>
        </w:tc>
      </w:tr>
      <w:tr w:rsidR="00E61463" w:rsidRPr="00E82178" w:rsidTr="00164070">
        <w:trPr>
          <w:trHeight w:val="300"/>
          <w:jc w:val="center"/>
        </w:trPr>
        <w:tc>
          <w:tcPr>
            <w:tcW w:w="4069" w:type="dxa"/>
            <w:noWrap/>
            <w:hideMark/>
          </w:tcPr>
          <w:p w:rsidR="00E61463" w:rsidRPr="00E82178" w:rsidRDefault="00E61463" w:rsidP="00164070">
            <w:pPr>
              <w:spacing w:after="0"/>
              <w:rPr>
                <w:rFonts w:eastAsia="Times New Roman" w:cs="Arial"/>
                <w:color w:val="000000"/>
                <w:lang w:eastAsia="es-ES"/>
              </w:rPr>
            </w:pPr>
            <w:r w:rsidRPr="00E82178">
              <w:rPr>
                <w:rFonts w:eastAsia="Times New Roman" w:cs="Arial"/>
                <w:color w:val="000000"/>
                <w:lang w:eastAsia="es-ES"/>
              </w:rPr>
              <w:t>Falta de cama en HAD</w:t>
            </w:r>
          </w:p>
        </w:tc>
        <w:tc>
          <w:tcPr>
            <w:tcW w:w="1131" w:type="dxa"/>
            <w:noWrap/>
            <w:hideMark/>
          </w:tcPr>
          <w:p w:rsidR="00E61463" w:rsidRPr="00E82178" w:rsidRDefault="00E61463" w:rsidP="00164070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E82178">
              <w:rPr>
                <w:rFonts w:eastAsia="Times New Roman" w:cs="Arial"/>
                <w:color w:val="000000"/>
                <w:lang w:eastAsia="es-ES"/>
              </w:rPr>
              <w:t>22,70%</w:t>
            </w:r>
          </w:p>
        </w:tc>
      </w:tr>
      <w:tr w:rsidR="00E61463" w:rsidRPr="00E82178" w:rsidTr="00164070">
        <w:trPr>
          <w:trHeight w:val="300"/>
          <w:jc w:val="center"/>
        </w:trPr>
        <w:tc>
          <w:tcPr>
            <w:tcW w:w="4069" w:type="dxa"/>
            <w:noWrap/>
            <w:hideMark/>
          </w:tcPr>
          <w:p w:rsidR="00E61463" w:rsidRPr="00E82178" w:rsidRDefault="00E61463" w:rsidP="00164070">
            <w:pPr>
              <w:spacing w:after="0"/>
              <w:rPr>
                <w:rFonts w:eastAsia="Times New Roman" w:cs="Arial"/>
                <w:color w:val="000000"/>
                <w:lang w:eastAsia="es-ES"/>
              </w:rPr>
            </w:pPr>
            <w:r w:rsidRPr="00E82178">
              <w:rPr>
                <w:rFonts w:eastAsia="Times New Roman" w:cs="Arial"/>
                <w:bCs/>
                <w:color w:val="000000"/>
                <w:lang w:eastAsia="es-ES"/>
              </w:rPr>
              <w:t>No tiene cuidador/a o inadecuado/a</w:t>
            </w:r>
          </w:p>
        </w:tc>
        <w:tc>
          <w:tcPr>
            <w:tcW w:w="1131" w:type="dxa"/>
            <w:noWrap/>
            <w:hideMark/>
          </w:tcPr>
          <w:p w:rsidR="00E61463" w:rsidRPr="00E82178" w:rsidRDefault="00E61463" w:rsidP="00164070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E82178">
              <w:rPr>
                <w:rFonts w:eastAsia="Times New Roman" w:cs="Arial"/>
                <w:color w:val="000000"/>
                <w:lang w:eastAsia="es-ES"/>
              </w:rPr>
              <w:t>14,70%</w:t>
            </w:r>
          </w:p>
        </w:tc>
      </w:tr>
      <w:tr w:rsidR="00E61463" w:rsidRPr="00E82178" w:rsidTr="00164070">
        <w:trPr>
          <w:trHeight w:val="300"/>
          <w:jc w:val="center"/>
        </w:trPr>
        <w:tc>
          <w:tcPr>
            <w:tcW w:w="4069" w:type="dxa"/>
            <w:noWrap/>
            <w:hideMark/>
          </w:tcPr>
          <w:p w:rsidR="00E61463" w:rsidRPr="00E82178" w:rsidRDefault="00E61463" w:rsidP="00164070">
            <w:pPr>
              <w:spacing w:after="0"/>
              <w:rPr>
                <w:rFonts w:eastAsia="Times New Roman" w:cs="Arial"/>
                <w:color w:val="000000"/>
                <w:lang w:eastAsia="es-ES"/>
              </w:rPr>
            </w:pPr>
            <w:r w:rsidRPr="00E82178">
              <w:rPr>
                <w:rFonts w:eastAsia="Times New Roman" w:cs="Arial"/>
                <w:bCs/>
                <w:color w:val="000000"/>
                <w:lang w:eastAsia="es-ES"/>
              </w:rPr>
              <w:t xml:space="preserve">No cumple criterios clínicos </w:t>
            </w:r>
          </w:p>
        </w:tc>
        <w:tc>
          <w:tcPr>
            <w:tcW w:w="1131" w:type="dxa"/>
            <w:noWrap/>
            <w:hideMark/>
          </w:tcPr>
          <w:p w:rsidR="00E61463" w:rsidRPr="00E82178" w:rsidRDefault="00E61463" w:rsidP="00164070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E82178">
              <w:rPr>
                <w:rFonts w:eastAsia="Times New Roman" w:cs="Arial"/>
                <w:color w:val="000000"/>
                <w:lang w:eastAsia="es-ES"/>
              </w:rPr>
              <w:t>9,70%</w:t>
            </w:r>
          </w:p>
        </w:tc>
      </w:tr>
      <w:tr w:rsidR="00E61463" w:rsidRPr="00E82178" w:rsidTr="00164070">
        <w:trPr>
          <w:trHeight w:val="300"/>
          <w:jc w:val="center"/>
        </w:trPr>
        <w:tc>
          <w:tcPr>
            <w:tcW w:w="4069" w:type="dxa"/>
            <w:noWrap/>
            <w:hideMark/>
          </w:tcPr>
          <w:p w:rsidR="00E61463" w:rsidRPr="00E82178" w:rsidRDefault="00E61463" w:rsidP="00164070">
            <w:pPr>
              <w:spacing w:after="0"/>
              <w:rPr>
                <w:rFonts w:eastAsia="Times New Roman" w:cs="Arial"/>
                <w:color w:val="000000"/>
                <w:lang w:eastAsia="es-ES"/>
              </w:rPr>
            </w:pPr>
            <w:r w:rsidRPr="00E82178">
              <w:rPr>
                <w:rFonts w:eastAsia="Times New Roman" w:cs="Arial"/>
                <w:bCs/>
                <w:color w:val="000000"/>
                <w:lang w:eastAsia="es-ES"/>
              </w:rPr>
              <w:t>Fuera de zona de cobertura</w:t>
            </w:r>
          </w:p>
        </w:tc>
        <w:tc>
          <w:tcPr>
            <w:tcW w:w="1131" w:type="dxa"/>
            <w:noWrap/>
            <w:hideMark/>
          </w:tcPr>
          <w:p w:rsidR="00E61463" w:rsidRPr="00E82178" w:rsidRDefault="00E61463" w:rsidP="00164070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E82178">
              <w:rPr>
                <w:rFonts w:eastAsia="Times New Roman" w:cs="Arial"/>
                <w:color w:val="000000"/>
                <w:lang w:eastAsia="es-ES"/>
              </w:rPr>
              <w:t>14,20%</w:t>
            </w:r>
          </w:p>
        </w:tc>
      </w:tr>
      <w:tr w:rsidR="00E61463" w:rsidRPr="00E82178" w:rsidTr="00164070">
        <w:trPr>
          <w:trHeight w:val="315"/>
          <w:jc w:val="center"/>
        </w:trPr>
        <w:tc>
          <w:tcPr>
            <w:tcW w:w="4069" w:type="dxa"/>
            <w:noWrap/>
            <w:hideMark/>
          </w:tcPr>
          <w:p w:rsidR="00E61463" w:rsidRPr="00E82178" w:rsidRDefault="00E61463" w:rsidP="00164070">
            <w:pPr>
              <w:spacing w:after="0"/>
              <w:rPr>
                <w:rFonts w:eastAsia="Times New Roman" w:cs="Arial"/>
                <w:color w:val="000000"/>
                <w:lang w:eastAsia="es-ES"/>
              </w:rPr>
            </w:pPr>
            <w:r w:rsidRPr="00E82178">
              <w:rPr>
                <w:rFonts w:eastAsia="Times New Roman" w:cs="Arial"/>
                <w:bCs/>
                <w:color w:val="000000"/>
                <w:lang w:eastAsia="es-ES"/>
              </w:rPr>
              <w:t>Problemática social</w:t>
            </w:r>
          </w:p>
        </w:tc>
        <w:tc>
          <w:tcPr>
            <w:tcW w:w="1131" w:type="dxa"/>
            <w:noWrap/>
            <w:hideMark/>
          </w:tcPr>
          <w:p w:rsidR="00E61463" w:rsidRPr="00E82178" w:rsidRDefault="00E61463" w:rsidP="00164070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E82178">
              <w:rPr>
                <w:rFonts w:eastAsia="Times New Roman" w:cs="Arial"/>
                <w:color w:val="000000"/>
                <w:lang w:eastAsia="es-ES"/>
              </w:rPr>
              <w:t>4,30%</w:t>
            </w:r>
          </w:p>
        </w:tc>
      </w:tr>
    </w:tbl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Pr="00727C39" w:rsidRDefault="00E61463" w:rsidP="00E61463">
      <w:pPr>
        <w:rPr>
          <w:rFonts w:cs="Arial"/>
        </w:rPr>
      </w:pPr>
      <w:r w:rsidRPr="00727C39">
        <w:rPr>
          <w:rFonts w:cs="Arial"/>
        </w:rPr>
        <w:t>Figura 1: Evolución de las altas en HAD entre 2009 y 2018</w:t>
      </w:r>
    </w:p>
    <w:p w:rsidR="00E61463" w:rsidRPr="00727C39" w:rsidRDefault="00E61463"/>
    <w:p w:rsidR="00E61463" w:rsidRDefault="00E61463">
      <w:bookmarkStart w:id="0" w:name="_GoBack"/>
      <w:r>
        <w:rPr>
          <w:noProof/>
          <w:lang w:val="ca-ES" w:eastAsia="ca-ES"/>
        </w:rPr>
        <w:drawing>
          <wp:inline distT="0" distB="0" distL="0" distR="0" wp14:anchorId="097CB371" wp14:editId="0FFCBDAF">
            <wp:extent cx="4895850" cy="302895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Pr="00727C39" w:rsidRDefault="00E61463" w:rsidP="00E61463">
      <w:pPr>
        <w:rPr>
          <w:rFonts w:cs="Arial"/>
        </w:rPr>
      </w:pPr>
      <w:r w:rsidRPr="00727C39">
        <w:rPr>
          <w:rFonts w:cs="Arial"/>
        </w:rPr>
        <w:t>Figura 2: Evolución del porcentaje de pacientes procedentes de domicilio y residencias geriátricas ingresados en HAD</w:t>
      </w:r>
    </w:p>
    <w:p w:rsidR="00E61463" w:rsidRDefault="00E61463"/>
    <w:p w:rsidR="00E61463" w:rsidRDefault="00E61463">
      <w:r>
        <w:rPr>
          <w:noProof/>
          <w:lang w:val="ca-ES" w:eastAsia="ca-ES"/>
        </w:rPr>
        <w:drawing>
          <wp:inline distT="0" distB="0" distL="0" distR="0" wp14:anchorId="01AA61DA" wp14:editId="0078A292">
            <wp:extent cx="4629150" cy="28575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Pr="00727C39" w:rsidRDefault="00E61463" w:rsidP="00E61463">
      <w:pPr>
        <w:rPr>
          <w:rFonts w:cs="Arial"/>
          <w:color w:val="FF0000"/>
        </w:rPr>
      </w:pPr>
      <w:r w:rsidRPr="00727C39">
        <w:rPr>
          <w:rFonts w:cs="Arial"/>
        </w:rPr>
        <w:t xml:space="preserve">Figura 3, Evolución de la dependencia de los pacientes de HAD según </w:t>
      </w:r>
      <w:proofErr w:type="spellStart"/>
      <w:r w:rsidRPr="00727C39">
        <w:rPr>
          <w:rFonts w:cs="Arial"/>
        </w:rPr>
        <w:t>Barthel</w:t>
      </w:r>
      <w:proofErr w:type="spellEnd"/>
      <w:r w:rsidRPr="00727C39">
        <w:rPr>
          <w:rFonts w:cs="Arial"/>
        </w:rPr>
        <w:t xml:space="preserve"> y </w:t>
      </w:r>
      <w:proofErr w:type="spellStart"/>
      <w:r w:rsidRPr="00727C39">
        <w:rPr>
          <w:rFonts w:cs="Arial"/>
        </w:rPr>
        <w:t>Pfeiffer</w:t>
      </w:r>
      <w:proofErr w:type="spellEnd"/>
      <w:r w:rsidRPr="00727C39">
        <w:rPr>
          <w:rFonts w:cs="Arial"/>
        </w:rPr>
        <w:t xml:space="preserve"> al ingreso.</w:t>
      </w:r>
    </w:p>
    <w:p w:rsidR="00E61463" w:rsidRDefault="00E61463">
      <w:r>
        <w:rPr>
          <w:noProof/>
          <w:lang w:val="ca-ES" w:eastAsia="ca-ES"/>
        </w:rPr>
        <w:drawing>
          <wp:inline distT="0" distB="0" distL="0" distR="0" wp14:anchorId="01C0AF42" wp14:editId="581028A7">
            <wp:extent cx="5081286" cy="2801073"/>
            <wp:effectExtent l="0" t="0" r="24130" b="1841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Pr="00727C39" w:rsidRDefault="00E61463" w:rsidP="00E61463">
      <w:pPr>
        <w:rPr>
          <w:rFonts w:cs="Arial"/>
        </w:rPr>
      </w:pPr>
      <w:r w:rsidRPr="00727C39">
        <w:rPr>
          <w:rFonts w:cs="Arial"/>
        </w:rPr>
        <w:t>Tabla 2, Comparativa de gravedad (APR-</w:t>
      </w:r>
      <w:proofErr w:type="gramStart"/>
      <w:r w:rsidRPr="00727C39">
        <w:rPr>
          <w:rFonts w:cs="Arial"/>
        </w:rPr>
        <w:t>DRG</w:t>
      </w:r>
      <w:r w:rsidR="00727C39">
        <w:rPr>
          <w:rFonts w:cs="Arial"/>
        </w:rPr>
        <w:t xml:space="preserve"> </w:t>
      </w:r>
      <w:r w:rsidRPr="00727C39">
        <w:rPr>
          <w:rFonts w:cs="Arial"/>
        </w:rPr>
        <w:t>)</w:t>
      </w:r>
      <w:proofErr w:type="gramEnd"/>
      <w:r w:rsidRPr="00727C39">
        <w:rPr>
          <w:rFonts w:cs="Arial"/>
        </w:rPr>
        <w:t xml:space="preserve"> según modalidad de ingreso</w:t>
      </w:r>
      <w:r w:rsidR="00727C39" w:rsidRPr="00727C39">
        <w:rPr>
          <w:rFonts w:cs="Arial"/>
        </w:rPr>
        <w:t xml:space="preserve"> 2017-2018</w:t>
      </w:r>
    </w:p>
    <w:p w:rsidR="00E61463" w:rsidRDefault="00E61463"/>
    <w:p w:rsidR="00E61463" w:rsidRDefault="00E61463">
      <w:r>
        <w:rPr>
          <w:noProof/>
          <w:lang w:val="ca-ES" w:eastAsia="ca-ES"/>
        </w:rPr>
        <w:drawing>
          <wp:inline distT="0" distB="0" distL="0" distR="0" wp14:anchorId="05DAE696" wp14:editId="39CCCB1B">
            <wp:extent cx="5400040" cy="39858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Default="00E61463"/>
    <w:p w:rsidR="00E61463" w:rsidRPr="00727C39" w:rsidRDefault="00E61463" w:rsidP="00E61463">
      <w:pPr>
        <w:rPr>
          <w:rFonts w:cs="Arial"/>
        </w:rPr>
      </w:pPr>
      <w:r w:rsidRPr="00727C39">
        <w:rPr>
          <w:rFonts w:cs="Arial"/>
        </w:rPr>
        <w:t>Figura 4: Comparativa del Peso medio (APR-DRG v32) en 2018 según modalidad de ingreso</w:t>
      </w:r>
    </w:p>
    <w:p w:rsidR="00E61463" w:rsidRDefault="00E61463"/>
    <w:p w:rsidR="00E61463" w:rsidRDefault="00E61463">
      <w:r w:rsidRPr="004A625A">
        <w:rPr>
          <w:rFonts w:cs="Arial"/>
          <w:noProof/>
          <w:shd w:val="clear" w:color="auto" w:fill="000000" w:themeFill="text1"/>
          <w:lang w:val="ca-ES" w:eastAsia="ca-ES"/>
        </w:rPr>
        <w:drawing>
          <wp:inline distT="0" distB="0" distL="0" distR="0" wp14:anchorId="30F89671" wp14:editId="4BB03E7F">
            <wp:extent cx="4867155" cy="3264061"/>
            <wp:effectExtent l="0" t="0" r="10160" b="1270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1463" w:rsidRPr="00727C39" w:rsidRDefault="00E61463" w:rsidP="00727C39">
      <w:pPr>
        <w:pStyle w:val="Prrafodelista"/>
        <w:numPr>
          <w:ilvl w:val="0"/>
          <w:numId w:val="2"/>
        </w:numPr>
        <w:rPr>
          <w:rFonts w:cs="Arial"/>
        </w:rPr>
      </w:pPr>
      <w:r w:rsidRPr="00727C39">
        <w:rPr>
          <w:rFonts w:cs="Arial"/>
        </w:rPr>
        <w:t>HAD: Hospitalización a domicilio</w:t>
      </w:r>
    </w:p>
    <w:p w:rsidR="00E61463" w:rsidRPr="00727C39" w:rsidRDefault="00E61463" w:rsidP="00727C39">
      <w:pPr>
        <w:pStyle w:val="Prrafodelista"/>
        <w:numPr>
          <w:ilvl w:val="0"/>
          <w:numId w:val="2"/>
        </w:numPr>
        <w:rPr>
          <w:rFonts w:cs="Arial"/>
        </w:rPr>
      </w:pPr>
      <w:r w:rsidRPr="00727C39">
        <w:rPr>
          <w:rFonts w:cs="Arial"/>
        </w:rPr>
        <w:t>UPO : Unidad de Corta estancia de Urgencias</w:t>
      </w:r>
    </w:p>
    <w:p w:rsidR="00E61463" w:rsidRPr="00727C39" w:rsidRDefault="00E61463" w:rsidP="00727C39">
      <w:pPr>
        <w:pStyle w:val="Prrafodelista"/>
        <w:numPr>
          <w:ilvl w:val="0"/>
          <w:numId w:val="2"/>
        </w:numPr>
        <w:rPr>
          <w:rFonts w:cs="Arial"/>
        </w:rPr>
      </w:pPr>
      <w:r w:rsidRPr="00727C39">
        <w:rPr>
          <w:rFonts w:cs="Arial"/>
        </w:rPr>
        <w:t xml:space="preserve">MI :Unidad convencional de Medicina Interna </w:t>
      </w:r>
    </w:p>
    <w:p w:rsidR="00E61463" w:rsidRPr="00727C39" w:rsidRDefault="00E61463" w:rsidP="00E61463">
      <w:pPr>
        <w:pStyle w:val="Prrafodelista"/>
        <w:ind w:left="1440"/>
        <w:rPr>
          <w:rFonts w:cs="Arial"/>
        </w:rPr>
      </w:pPr>
      <w:r w:rsidRPr="00727C39">
        <w:rPr>
          <w:rFonts w:cs="Arial"/>
        </w:rPr>
        <w:t>Intervalo de confianza 95%</w:t>
      </w:r>
    </w:p>
    <w:p w:rsidR="00E61463" w:rsidRDefault="00E61463"/>
    <w:p w:rsidR="00E61463" w:rsidRDefault="00E61463"/>
    <w:p w:rsidR="00E61463" w:rsidRPr="00E61463" w:rsidRDefault="00E61463"/>
    <w:sectPr w:rsidR="00E61463" w:rsidRPr="00E61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375"/>
    <w:multiLevelType w:val="hybridMultilevel"/>
    <w:tmpl w:val="2A76344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6219"/>
    <w:multiLevelType w:val="hybridMultilevel"/>
    <w:tmpl w:val="6A6C2F0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63"/>
    <w:rsid w:val="00447C49"/>
    <w:rsid w:val="004D75F4"/>
    <w:rsid w:val="004E12B7"/>
    <w:rsid w:val="005F2543"/>
    <w:rsid w:val="00727C39"/>
    <w:rsid w:val="00E61463"/>
    <w:rsid w:val="00E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ps_txtcaja"/>
    <w:qFormat/>
    <w:rsid w:val="00E61463"/>
    <w:pPr>
      <w:spacing w:after="160" w:line="240" w:lineRule="auto"/>
    </w:pPr>
    <w:rPr>
      <w:rFonts w:ascii="Arial" w:hAnsi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1463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1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46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61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ps_txtcaja"/>
    <w:qFormat/>
    <w:rsid w:val="00E61463"/>
    <w:pPr>
      <w:spacing w:after="160" w:line="240" w:lineRule="auto"/>
    </w:pPr>
    <w:rPr>
      <w:rFonts w:ascii="Arial" w:hAnsi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1463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1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46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6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74617551426298E-2"/>
          <c:y val="0.18301363968848156"/>
          <c:w val="0.86928937007874019"/>
          <c:h val="0.72203224596925386"/>
        </c:manualLayout>
      </c:layout>
      <c:lineChart>
        <c:grouping val="stacked"/>
        <c:varyColors val="0"/>
        <c:ser>
          <c:idx val="0"/>
          <c:order val="0"/>
          <c:tx>
            <c:strRef>
              <c:f>'Evoluicó altes HAD'!$C$4</c:f>
              <c:strCache>
                <c:ptCount val="1"/>
                <c:pt idx="0">
                  <c:v>Altas</c:v>
                </c:pt>
              </c:strCache>
            </c:strRef>
          </c:tx>
          <c:dLbls>
            <c:dLbl>
              <c:idx val="0"/>
              <c:layout>
                <c:manualLayout>
                  <c:x val="-5.8333333333333334E-2"/>
                  <c:y val="-6.21118012422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8333333333333334E-2"/>
                  <c:y val="-6.21118012422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222222222222221E-2"/>
                  <c:y val="-6.6252587991718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2777777777777778E-2"/>
                  <c:y val="-5.79710144927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71940138038333E-2"/>
                  <c:y val="-5.6941657047056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7557342369240875E-2"/>
                  <c:y val="-1.8270348518412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7584931214302521E-2"/>
                  <c:y val="-4.9450259513930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9263000735012998E-2"/>
                  <c:y val="-6.2111931915574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0204225056666637E-2"/>
                  <c:y val="-6.5701911977372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7222222222222325E-2"/>
                  <c:y val="-5.383022774327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'Evoluicó altes HAD'!$B$5:$B$14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'Evoluicó altes HAD'!$C$5:$C$14</c:f>
              <c:numCache>
                <c:formatCode>General</c:formatCode>
                <c:ptCount val="10"/>
                <c:pt idx="0">
                  <c:v>331</c:v>
                </c:pt>
                <c:pt idx="1">
                  <c:v>333</c:v>
                </c:pt>
                <c:pt idx="2">
                  <c:v>320</c:v>
                </c:pt>
                <c:pt idx="3">
                  <c:v>402</c:v>
                </c:pt>
                <c:pt idx="4">
                  <c:v>402</c:v>
                </c:pt>
                <c:pt idx="5">
                  <c:v>625</c:v>
                </c:pt>
                <c:pt idx="6">
                  <c:v>815</c:v>
                </c:pt>
                <c:pt idx="7">
                  <c:v>807</c:v>
                </c:pt>
                <c:pt idx="8">
                  <c:v>831</c:v>
                </c:pt>
                <c:pt idx="9">
                  <c:v>1167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899776"/>
        <c:axId val="138705088"/>
      </c:lineChart>
      <c:catAx>
        <c:axId val="14189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</a:defRPr>
            </a:pPr>
            <a:endParaRPr lang="ca-ES"/>
          </a:p>
        </c:txPr>
        <c:crossAx val="138705088"/>
        <c:crosses val="autoZero"/>
        <c:auto val="1"/>
        <c:lblAlgn val="ctr"/>
        <c:lblOffset val="100"/>
        <c:noMultiLvlLbl val="0"/>
      </c:catAx>
      <c:valAx>
        <c:axId val="13870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</a:defRPr>
            </a:pPr>
            <a:endParaRPr lang="ca-ES"/>
          </a:p>
        </c:txPr>
        <c:crossAx val="141899776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ca-E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'procedencia dom'!$D$5</c:f>
              <c:strCache>
                <c:ptCount val="1"/>
                <c:pt idx="0">
                  <c:v>% procedencia dom</c:v>
                </c:pt>
              </c:strCache>
            </c:strRef>
          </c:tx>
          <c:dLbls>
            <c:dLbl>
              <c:idx val="2"/>
              <c:layout>
                <c:manualLayout>
                  <c:x val="-3.2850958821193786E-2"/>
                  <c:y val="-6.240126964473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710575292716269E-2"/>
                  <c:y val="-4.6800952233547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9276438231790738E-2"/>
                  <c:y val="-7.2801481252185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8842559839832169E-2"/>
                  <c:y val="-7.8001587055913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8552876463581351E-2"/>
                  <c:y val="-5.2001058037275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9.8552876463581351E-2"/>
                  <c:y val="-5.2001058037275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2561534113910173E-2"/>
                  <c:y val="-5.2001058037275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8552876463581345E-3"/>
                  <c:y val="-5.200105803727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'procedencia dom'!$C$6:$C$15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'procedencia dom'!$D$6:$D$15</c:f>
              <c:numCache>
                <c:formatCode>General</c:formatCode>
                <c:ptCount val="10"/>
                <c:pt idx="0">
                  <c:v>2</c:v>
                </c:pt>
                <c:pt idx="1">
                  <c:v>3.1</c:v>
                </c:pt>
                <c:pt idx="2">
                  <c:v>9</c:v>
                </c:pt>
                <c:pt idx="3">
                  <c:v>6</c:v>
                </c:pt>
                <c:pt idx="4">
                  <c:v>6.1</c:v>
                </c:pt>
                <c:pt idx="5">
                  <c:v>10</c:v>
                </c:pt>
                <c:pt idx="6">
                  <c:v>15.6</c:v>
                </c:pt>
                <c:pt idx="7">
                  <c:v>18.2</c:v>
                </c:pt>
                <c:pt idx="8">
                  <c:v>23.2</c:v>
                </c:pt>
                <c:pt idx="9">
                  <c:v>21.6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900288"/>
        <c:axId val="177061888"/>
      </c:lineChart>
      <c:catAx>
        <c:axId val="14190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7061888"/>
        <c:crosses val="autoZero"/>
        <c:auto val="1"/>
        <c:lblAlgn val="ctr"/>
        <c:lblOffset val="100"/>
        <c:noMultiLvlLbl val="0"/>
      </c:catAx>
      <c:valAx>
        <c:axId val="1770618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190028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8339922893292"/>
          <c:y val="5.0340148197866107E-2"/>
          <c:w val="0.55289772059716369"/>
          <c:h val="0.83607781732214759"/>
        </c:manualLayout>
      </c:layout>
      <c:lineChart>
        <c:grouping val="standard"/>
        <c:varyColors val="0"/>
        <c:ser>
          <c:idx val="0"/>
          <c:order val="0"/>
          <c:tx>
            <c:strRef>
              <c:f>'Barthel i Pfeiffer'!$D$6</c:f>
              <c:strCache>
                <c:ptCount val="1"/>
                <c:pt idx="0">
                  <c:v>Dependencia severa</c:v>
                </c:pt>
              </c:strCache>
            </c:strRef>
          </c:tx>
          <c:spPr>
            <a:ln>
              <a:solidFill>
                <a:schemeClr val="tx2">
                  <a:lumMod val="40000"/>
                  <a:lumOff val="60000"/>
                </a:schemeClr>
              </a:solidFill>
            </a:ln>
          </c:spPr>
          <c:marker>
            <c:symbol val="diamond"/>
            <c:size val="7"/>
          </c:marker>
          <c:dLbls>
            <c:dLbl>
              <c:idx val="0"/>
              <c:layout>
                <c:manualLayout>
                  <c:x val="-3.9989868708459095E-2"/>
                  <c:y val="5.440772161239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484169856967336E-2"/>
                  <c:y val="-5.4407721612396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987335885573872E-2"/>
                  <c:y val="-4.9873744811363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489235502737789E-2"/>
                  <c:y val="-4.9873744811363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489235502737838E-2"/>
                  <c:y val="-5.8941698413429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9974671771147737E-3"/>
                  <c:y val="1.3601930403099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2486702679852656E-2"/>
                  <c:y val="-4.987374481136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486702679852566E-2"/>
                  <c:y val="-5.440772161239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986069474131261E-2"/>
                  <c:y val="-4.5339768010330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49303473706563E-2"/>
                  <c:y val="-4.5339768010330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ca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'Barthel i Pfeiffer'!$C$7:$C$16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'Barthel i Pfeiffer'!$D$7:$D$16</c:f>
              <c:numCache>
                <c:formatCode>General</c:formatCode>
                <c:ptCount val="10"/>
                <c:pt idx="0">
                  <c:v>14.1</c:v>
                </c:pt>
                <c:pt idx="1">
                  <c:v>15.6</c:v>
                </c:pt>
                <c:pt idx="2">
                  <c:v>16.5</c:v>
                </c:pt>
                <c:pt idx="3">
                  <c:v>16.2</c:v>
                </c:pt>
                <c:pt idx="4">
                  <c:v>16.8</c:v>
                </c:pt>
                <c:pt idx="5">
                  <c:v>17.8</c:v>
                </c:pt>
                <c:pt idx="6">
                  <c:v>25.8</c:v>
                </c:pt>
                <c:pt idx="7">
                  <c:v>21.8</c:v>
                </c:pt>
                <c:pt idx="8">
                  <c:v>27.9</c:v>
                </c:pt>
                <c:pt idx="9">
                  <c:v>26.5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'Barthel i Pfeiffer'!$E$6</c:f>
              <c:strCache>
                <c:ptCount val="1"/>
                <c:pt idx="0">
                  <c:v>D. cognitivo severo</c:v>
                </c:pt>
              </c:strCache>
            </c:strRef>
          </c:tx>
          <c:marker>
            <c:symbol val="circle"/>
            <c:size val="6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7493034737065651E-2"/>
                  <c:y val="5.8941698413429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993667942786936E-2"/>
                  <c:y val="4.5339768010330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2484169856967385E-2"/>
                  <c:y val="-5.894169841342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2486702679852566E-2"/>
                  <c:y val="6.8009652015495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4988602297016483E-2"/>
                  <c:y val="7.2543628816528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89868708459095E-2"/>
                  <c:y val="7.2543628816528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ca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'Barthel i Pfeiffer'!$C$7:$C$16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'Barthel i Pfeiffer'!$E$7:$E$16</c:f>
              <c:numCache>
                <c:formatCode>General</c:formatCode>
                <c:ptCount val="10"/>
                <c:pt idx="0">
                  <c:v>4.3</c:v>
                </c:pt>
                <c:pt idx="1">
                  <c:v>4.2</c:v>
                </c:pt>
                <c:pt idx="2">
                  <c:v>9</c:v>
                </c:pt>
                <c:pt idx="3">
                  <c:v>6.4</c:v>
                </c:pt>
                <c:pt idx="4">
                  <c:v>14.5</c:v>
                </c:pt>
                <c:pt idx="5">
                  <c:v>18.399999999999999</c:v>
                </c:pt>
                <c:pt idx="6">
                  <c:v>22.8</c:v>
                </c:pt>
                <c:pt idx="7">
                  <c:v>17.600000000000001</c:v>
                </c:pt>
                <c:pt idx="8">
                  <c:v>22.9</c:v>
                </c:pt>
                <c:pt idx="9">
                  <c:v>21.2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861376"/>
        <c:axId val="177063616"/>
      </c:lineChart>
      <c:catAx>
        <c:axId val="14186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ca-ES"/>
          </a:p>
        </c:txPr>
        <c:crossAx val="177063616"/>
        <c:crosses val="autoZero"/>
        <c:auto val="1"/>
        <c:lblAlgn val="ctr"/>
        <c:lblOffset val="100"/>
        <c:noMultiLvlLbl val="0"/>
      </c:catAx>
      <c:valAx>
        <c:axId val="1770636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1"/>
                </a:pPr>
                <a:r>
                  <a:rPr lang="ca-ES" sz="1200" b="1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186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tockChart>
        <c:ser>
          <c:idx val="0"/>
          <c:order val="0"/>
          <c:tx>
            <c:strRef>
              <c:f>Hoja1!$B$1</c:f>
              <c:strCache>
                <c:ptCount val="1"/>
                <c:pt idx="0">
                  <c:v>CI superior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Hoja1!$A$2:$A$4</c:f>
              <c:strCache>
                <c:ptCount val="3"/>
                <c:pt idx="0">
                  <c:v>HAD n= 1,167</c:v>
                </c:pt>
                <c:pt idx="1">
                  <c:v>UPO n= 3,031</c:v>
                </c:pt>
                <c:pt idx="2">
                  <c:v>MI n= 4,324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0.70099999999999996</c:v>
                </c:pt>
                <c:pt idx="1">
                  <c:v>0.63400000000000001</c:v>
                </c:pt>
                <c:pt idx="2">
                  <c:v>0.82799999999999996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CI inferior</c:v>
                </c:pt>
              </c:strCache>
            </c:strRef>
          </c:tx>
          <c:spPr>
            <a:ln w="0">
              <a:noFill/>
            </a:ln>
          </c:spPr>
          <c:marker>
            <c:symbol val="none"/>
          </c:marker>
          <c:cat>
            <c:strRef>
              <c:f>Hoja1!$A$2:$A$4</c:f>
              <c:strCache>
                <c:ptCount val="3"/>
                <c:pt idx="0">
                  <c:v>HAD n= 1,167</c:v>
                </c:pt>
                <c:pt idx="1">
                  <c:v>UPO n= 3,031</c:v>
                </c:pt>
                <c:pt idx="2">
                  <c:v>MI n= 4,324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0.67500000000000004</c:v>
                </c:pt>
                <c:pt idx="1">
                  <c:v>0.61699999999999999</c:v>
                </c:pt>
                <c:pt idx="2">
                  <c:v>0.80400000000000005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Media</c:v>
                </c:pt>
              </c:strCache>
            </c:strRef>
          </c:tx>
          <c:spPr>
            <a:ln w="28575">
              <a:noFill/>
            </a:ln>
          </c:spPr>
          <c:marker>
            <c:symbol val="dash"/>
            <c:size val="21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smtClean="0"/>
                      <a:t>0.688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smtClean="0"/>
                      <a:t>0.625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smtClean="0"/>
                      <a:t>0.816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ca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Hoja1!$A$2:$A$4</c:f>
              <c:strCache>
                <c:ptCount val="3"/>
                <c:pt idx="0">
                  <c:v>HAD n= 1,167</c:v>
                </c:pt>
                <c:pt idx="1">
                  <c:v>UPO n= 3,031</c:v>
                </c:pt>
                <c:pt idx="2">
                  <c:v>MI n= 4,324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0.68799999999999994</c:v>
                </c:pt>
                <c:pt idx="1">
                  <c:v>0.625</c:v>
                </c:pt>
                <c:pt idx="2">
                  <c:v>0.81599999999999995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209550">
              <a:solidFill>
                <a:schemeClr val="accent3">
                  <a:lumMod val="40000"/>
                  <a:lumOff val="60000"/>
                </a:schemeClr>
              </a:solidFill>
            </a:ln>
          </c:spPr>
        </c:hiLowLines>
        <c:axId val="141898240"/>
        <c:axId val="177065344"/>
      </c:stockChart>
      <c:catAx>
        <c:axId val="14189824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ca-ES"/>
          </a:p>
        </c:txPr>
        <c:crossAx val="177065344"/>
        <c:crosses val="autoZero"/>
        <c:auto val="1"/>
        <c:lblAlgn val="ctr"/>
        <c:lblOffset val="100"/>
        <c:noMultiLvlLbl val="0"/>
      </c:catAx>
      <c:valAx>
        <c:axId val="177065344"/>
        <c:scaling>
          <c:orientation val="minMax"/>
          <c:max val="0.9"/>
          <c:min val="0.60000000000000009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ca-ES"/>
          </a:p>
        </c:txPr>
        <c:crossAx val="141898240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txPr>
    <a:bodyPr/>
    <a:lstStyle/>
    <a:p>
      <a:pPr>
        <a:defRPr sz="1800"/>
      </a:pPr>
      <a:endParaRPr lang="ca-E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0.53762</cdr:x>
      <cdr:y>0.44956</cdr:y>
    </cdr:from>
    <cdr:to>
      <cdr:x>0.54912</cdr:x>
      <cdr:y>0.53341</cdr:y>
    </cdr:to>
    <cdr:sp macro="" textlink="">
      <cdr:nvSpPr>
        <cdr:cNvPr id="2" name="1 Flecha abajo"/>
        <cdr:cNvSpPr/>
      </cdr:nvSpPr>
      <cdr:spPr>
        <a:xfrm xmlns:a="http://schemas.openxmlformats.org/drawingml/2006/main" flipH="1">
          <a:off x="2137426" y="1303470"/>
          <a:ext cx="45719" cy="243116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accent2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a-ES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0.90477</cdr:x>
      <cdr:y>0.34069</cdr:y>
    </cdr:from>
    <cdr:to>
      <cdr:x>0.91477</cdr:x>
      <cdr:y>0.66678</cdr:y>
    </cdr:to>
    <cdr:sp macro="" textlink="">
      <cdr:nvSpPr>
        <cdr:cNvPr id="3" name="2 Flecha abajo"/>
        <cdr:cNvSpPr/>
      </cdr:nvSpPr>
      <cdr:spPr>
        <a:xfrm xmlns:a="http://schemas.openxmlformats.org/drawingml/2006/main" flipH="1" flipV="1">
          <a:off x="4429609" y="1031933"/>
          <a:ext cx="48959" cy="987710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accent2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a-ES"/>
        </a:p>
      </cdr:txBody>
    </cdr:sp>
  </cdr:relSizeAnchor>
  <cdr:relSizeAnchor xmlns:cdr="http://schemas.openxmlformats.org/drawingml/2006/chartDrawing">
    <cdr:from>
      <cdr:x>0.46146</cdr:x>
      <cdr:y>0.27329</cdr:y>
    </cdr:from>
    <cdr:to>
      <cdr:x>0.59063</cdr:x>
      <cdr:y>0.29814</cdr:y>
    </cdr:to>
    <cdr:sp macro="" textlink="">
      <cdr:nvSpPr>
        <cdr:cNvPr id="4" name="3 CuadroTexto"/>
        <cdr:cNvSpPr txBox="1"/>
      </cdr:nvSpPr>
      <cdr:spPr>
        <a:xfrm xmlns:a="http://schemas.openxmlformats.org/drawingml/2006/main">
          <a:off x="2109788" y="838200"/>
          <a:ext cx="590550" cy="76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a-ES" sz="1100"/>
        </a:p>
      </cdr:txBody>
    </cdr:sp>
  </cdr:relSizeAnchor>
  <cdr:relSizeAnchor xmlns:cdr="http://schemas.openxmlformats.org/drawingml/2006/chartDrawing">
    <cdr:from>
      <cdr:x>0.44087</cdr:x>
      <cdr:y>0.28701</cdr:y>
    </cdr:from>
    <cdr:to>
      <cdr:x>0.65359</cdr:x>
      <cdr:y>0.44512</cdr:y>
    </cdr:to>
    <cdr:sp macro="" textlink="">
      <cdr:nvSpPr>
        <cdr:cNvPr id="5" name="4 CuadroTexto"/>
        <cdr:cNvSpPr txBox="1"/>
      </cdr:nvSpPr>
      <cdr:spPr>
        <a:xfrm xmlns:a="http://schemas.openxmlformats.org/drawingml/2006/main">
          <a:off x="1752782" y="832159"/>
          <a:ext cx="845735" cy="4584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a-ES" sz="1100"/>
            <a:t>2 Equipos: 18 camas</a:t>
          </a:r>
          <a:r>
            <a:rPr lang="ca-ES" sz="1100" baseline="0"/>
            <a:t> </a:t>
          </a:r>
          <a:endParaRPr lang="ca-ES" sz="1100"/>
        </a:p>
      </cdr:txBody>
    </cdr:sp>
  </cdr:relSizeAnchor>
  <cdr:relSizeAnchor xmlns:cdr="http://schemas.openxmlformats.org/drawingml/2006/chartDrawing">
    <cdr:from>
      <cdr:x>0.79933</cdr:x>
      <cdr:y>0.68549</cdr:y>
    </cdr:from>
    <cdr:to>
      <cdr:x>1</cdr:x>
      <cdr:y>0.86628</cdr:y>
    </cdr:to>
    <cdr:sp macro="" textlink="">
      <cdr:nvSpPr>
        <cdr:cNvPr id="6" name="5 CuadroTexto"/>
        <cdr:cNvSpPr txBox="1"/>
      </cdr:nvSpPr>
      <cdr:spPr>
        <a:xfrm xmlns:a="http://schemas.openxmlformats.org/drawingml/2006/main">
          <a:off x="3178104" y="1987522"/>
          <a:ext cx="797800" cy="5241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a-ES" sz="1100"/>
            <a:t>3 equipos: 30 camas 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Gegundez, Mercé</dc:creator>
  <cp:lastModifiedBy>Diaz Gegundez, Mercé</cp:lastModifiedBy>
  <cp:revision>3</cp:revision>
  <dcterms:created xsi:type="dcterms:W3CDTF">2020-01-03T09:29:00Z</dcterms:created>
  <dcterms:modified xsi:type="dcterms:W3CDTF">2020-01-09T07:43:00Z</dcterms:modified>
</cp:coreProperties>
</file>